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7478B7" w:rsidTr="00E24971">
        <w:tc>
          <w:tcPr>
            <w:tcW w:w="10489" w:type="dxa"/>
          </w:tcPr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:rsidTr="00E24971">
        <w:tc>
          <w:tcPr>
            <w:tcW w:w="10489" w:type="dxa"/>
          </w:tcPr>
          <w:p w:rsidR="007478B7" w:rsidRDefault="00FE3957" w:rsidP="001449AF">
            <w:pPr>
              <w:jc w:val="center"/>
            </w:pPr>
            <w:r>
              <w:rPr>
                <w:color w:val="000000"/>
              </w:rPr>
              <w:t>на 01</w:t>
            </w:r>
            <w:r w:rsidR="00243B6A">
              <w:rPr>
                <w:color w:val="000000"/>
              </w:rPr>
              <w:t xml:space="preserve"> </w:t>
            </w:r>
            <w:r w:rsidR="001449AF">
              <w:rPr>
                <w:color w:val="000000"/>
              </w:rPr>
              <w:t>июля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1A78D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:rsidR="00FE3957" w:rsidRDefault="00DE6964" w:rsidP="00AE4F1C">
            <w:r>
              <w:t xml:space="preserve">Комитет по </w:t>
            </w:r>
            <w:r w:rsidR="00AE4F1C">
              <w:t>агропромышленному и рыбохозяйственному комплексу</w:t>
            </w:r>
            <w:r w:rsidR="00AE4F1C" w:rsidRPr="00AE4F1C">
              <w:t xml:space="preserve"> </w:t>
            </w:r>
            <w:r>
              <w:t xml:space="preserve"> Ленинградской области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 w:rsidT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:rsidR="00FE3957" w:rsidRPr="00AE4F1C" w:rsidRDefault="00AE4F1C" w:rsidP="00E24971">
            <w:r w:rsidRPr="00AE4F1C">
              <w:rPr>
                <w:color w:val="000000"/>
              </w:rPr>
              <w:t>Мероприятия направленные на реализацию комплекса мероприятий по борьбе с борщевиком Сосновского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rPr>
          <w:trHeight w:hRule="exact" w:val="396"/>
        </w:trPr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3794"/>
        <w:gridCol w:w="1134"/>
        <w:gridCol w:w="1276"/>
        <w:gridCol w:w="1417"/>
        <w:gridCol w:w="1418"/>
        <w:gridCol w:w="1448"/>
      </w:tblGrid>
      <w:tr w:rsidR="007478B7" w:rsidTr="001A78D8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:rsidTr="001A78D8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:rsidTr="00E24971">
        <w:trPr>
          <w:trHeight w:hRule="exact" w:val="104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7478B7">
            <w:pPr>
              <w:jc w:val="center"/>
            </w:pPr>
          </w:p>
        </w:tc>
      </w:tr>
      <w:tr w:rsidR="001A78D8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A78D8" w:rsidRDefault="001C4F6C" w:rsidP="001A78D8">
            <w:pPr>
              <w:jc w:val="center"/>
            </w:pPr>
            <w:r>
              <w:t>679100</w:t>
            </w:r>
            <w:r w:rsidR="001A78D8">
              <w:t>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A78D8" w:rsidRDefault="001C4F6C" w:rsidP="00316FDB">
            <w:pPr>
              <w:jc w:val="center"/>
            </w:pPr>
            <w:r>
              <w:t>679100</w:t>
            </w:r>
            <w:r w:rsidR="001A78D8">
              <w:t>,00</w:t>
            </w:r>
          </w:p>
        </w:tc>
      </w:tr>
      <w:tr w:rsidR="00BB12D4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C4F6C">
            <w:pPr>
              <w:jc w:val="center"/>
            </w:pPr>
            <w:r>
              <w:t>755100,00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C4F6C" w:rsidP="00DE6964">
            <w:pPr>
              <w:jc w:val="center"/>
            </w:pPr>
            <w:r>
              <w:t>755100</w:t>
            </w:r>
            <w:r w:rsidR="00BB12D4"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0B7265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lastRenderedPageBreak/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/>
      </w:tblPr>
      <w:tblGrid>
        <w:gridCol w:w="8188"/>
      </w:tblGrid>
      <w:tr w:rsidR="007478B7" w:rsidTr="00DE6964">
        <w:tc>
          <w:tcPr>
            <w:tcW w:w="8188" w:type="dxa"/>
          </w:tcPr>
          <w:p w:rsidR="00DE6964" w:rsidRDefault="00DE6964" w:rsidP="0015726F">
            <w:pPr>
              <w:rPr>
                <w:color w:val="000000"/>
              </w:rPr>
            </w:pP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:rsidR="007478B7" w:rsidRDefault="00FE3957" w:rsidP="0015726F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15726F">
              <w:t xml:space="preserve">Глава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                 </w:t>
            </w:r>
            <w:r w:rsidR="00DE6964">
              <w:t xml:space="preserve"> Кондратьев Д.А.</w:t>
            </w:r>
          </w:p>
        </w:tc>
      </w:tr>
      <w:tr w:rsidR="00BB12D4" w:rsidTr="00DE6964">
        <w:tc>
          <w:tcPr>
            <w:tcW w:w="8188" w:type="dxa"/>
          </w:tcPr>
          <w:p w:rsidR="00BB12D4" w:rsidRDefault="00BB12D4" w:rsidP="0015726F">
            <w:pPr>
              <w:rPr>
                <w:color w:val="000000"/>
              </w:rPr>
            </w:pPr>
          </w:p>
        </w:tc>
      </w:tr>
    </w:tbl>
    <w:p w:rsidR="00FE3957" w:rsidRDefault="00FE3957" w:rsidP="001C4F6C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75" w:rsidRDefault="00073E75" w:rsidP="007478B7">
      <w:r>
        <w:separator/>
      </w:r>
    </w:p>
  </w:endnote>
  <w:endnote w:type="continuationSeparator" w:id="0">
    <w:p w:rsidR="00073E75" w:rsidRDefault="00073E75" w:rsidP="0074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854DAF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75" w:rsidRDefault="00073E75" w:rsidP="007478B7">
      <w:r>
        <w:separator/>
      </w:r>
    </w:p>
  </w:footnote>
  <w:footnote w:type="continuationSeparator" w:id="0">
    <w:p w:rsidR="00073E75" w:rsidRDefault="00073E75" w:rsidP="00747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 w:rsidTr="001A78D8">
      <w:trPr>
        <w:trHeight w:val="80"/>
      </w:trPr>
      <w:tc>
        <w:tcPr>
          <w:tcW w:w="10704" w:type="dxa"/>
        </w:tcPr>
        <w:p w:rsidR="00854DAF" w:rsidRDefault="005A2BD8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AE4F1C">
            <w:rPr>
              <w:color w:val="000000"/>
              <w:sz w:val="22"/>
              <w:szCs w:val="22"/>
            </w:rPr>
            <w:t>1</w:t>
          </w:r>
          <w:r>
            <w:fldChar w:fldCharType="end"/>
          </w:r>
        </w:p>
        <w:p w:rsidR="00854DAF" w:rsidRDefault="00854DAF"/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B7"/>
    <w:rsid w:val="00011758"/>
    <w:rsid w:val="0004417E"/>
    <w:rsid w:val="00073E75"/>
    <w:rsid w:val="000A0B85"/>
    <w:rsid w:val="000B7265"/>
    <w:rsid w:val="0013536E"/>
    <w:rsid w:val="001449AF"/>
    <w:rsid w:val="0015726F"/>
    <w:rsid w:val="001A78D8"/>
    <w:rsid w:val="001C4F6C"/>
    <w:rsid w:val="00211877"/>
    <w:rsid w:val="00243B6A"/>
    <w:rsid w:val="00583250"/>
    <w:rsid w:val="005A2BD8"/>
    <w:rsid w:val="005B49D2"/>
    <w:rsid w:val="006749FA"/>
    <w:rsid w:val="007478B7"/>
    <w:rsid w:val="007836FE"/>
    <w:rsid w:val="007B0F94"/>
    <w:rsid w:val="007D2D04"/>
    <w:rsid w:val="00822A02"/>
    <w:rsid w:val="00850052"/>
    <w:rsid w:val="00854DAF"/>
    <w:rsid w:val="0088420B"/>
    <w:rsid w:val="008B0606"/>
    <w:rsid w:val="00A11F3F"/>
    <w:rsid w:val="00A95115"/>
    <w:rsid w:val="00AE4F1C"/>
    <w:rsid w:val="00B53686"/>
    <w:rsid w:val="00BB12D4"/>
    <w:rsid w:val="00BE6B7E"/>
    <w:rsid w:val="00CB677E"/>
    <w:rsid w:val="00CF43FB"/>
    <w:rsid w:val="00D83D61"/>
    <w:rsid w:val="00DE6964"/>
    <w:rsid w:val="00E152B8"/>
    <w:rsid w:val="00E24971"/>
    <w:rsid w:val="00ED1F43"/>
    <w:rsid w:val="00F16248"/>
    <w:rsid w:val="00F428EF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KEY</cp:lastModifiedBy>
  <cp:revision>6</cp:revision>
  <cp:lastPrinted>2021-07-09T07:02:00Z</cp:lastPrinted>
  <dcterms:created xsi:type="dcterms:W3CDTF">2021-07-08T13:45:00Z</dcterms:created>
  <dcterms:modified xsi:type="dcterms:W3CDTF">2021-07-09T07:02:00Z</dcterms:modified>
</cp:coreProperties>
</file>