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DB" w:rsidRDefault="00A53CDB" w:rsidP="00A53CDB">
      <w:pPr>
        <w:jc w:val="left"/>
      </w:pPr>
      <w:r>
        <w:t>Федеральные льготы ветеранам боевых действий.</w:t>
      </w:r>
    </w:p>
    <w:p w:rsidR="00A53CDB" w:rsidRDefault="00A53CDB" w:rsidP="00A53CDB">
      <w:pPr>
        <w:jc w:val="left"/>
      </w:pPr>
    </w:p>
    <w:p w:rsidR="00A53CDB" w:rsidRDefault="00A53CDB" w:rsidP="00A53CDB">
      <w:pPr>
        <w:jc w:val="left"/>
      </w:pPr>
      <w:r>
        <w:t xml:space="preserve">Данная категория граждан относится к федеральным льготникам и имеет право на получение по линии </w:t>
      </w:r>
      <w:proofErr w:type="gramStart"/>
      <w:r>
        <w:t>ПФР</w:t>
      </w:r>
      <w:proofErr w:type="gramEnd"/>
      <w:r>
        <w:t xml:space="preserve"> в том числе и ежемесячной денежной выплаты (ЕДВ). Если ветеран боевых действий пользуется льготами в натуральном выражении, т.е. набором социальных услуг, то в состав набора (НСУ) входит: обеспечение лекарственными препаратами и изделиями медицинского назначения, предоставление путевки на санаторно-курортное лечение и бесплатный проезд к месту лечения и обратно. Получатель льготы сам выбирает, в денежном или натуральном эквиваленте будет ее получать. </w:t>
      </w:r>
    </w:p>
    <w:p w:rsidR="00A53CDB" w:rsidRDefault="00A53CDB" w:rsidP="00A53CDB">
      <w:pPr>
        <w:jc w:val="left"/>
      </w:pPr>
      <w:r>
        <w:br/>
        <w:t>Ветераны, получившие инвалидность вследствие военной травмы, имеют право на одновременное оформление двух пенсий: государственную по инвалидности и досрочную страховую пенсию по старости при наступлении установленного возраста. При этом они должны иметь страховой стаж соответственно не менее 25 лет (мужчины) и 20 лет (женщины).</w:t>
      </w:r>
      <w:r>
        <w:br/>
        <w:t>Родители военнослужащих, погибших в период прохождения военной службы по призыву или умерших вследствие военной травмы после увольнения с военной службы, имеют право на пенсию по случаю потери кормильца по достижении возраста 55 и 50 лет (соответственно мужчины и женщины), а по достижении общеустановленного пенсионного возраста – на вторую пенсию по старости.</w:t>
      </w:r>
    </w:p>
    <w:p w:rsidR="00115F24" w:rsidRDefault="00A53CDB" w:rsidP="00A53CDB">
      <w:pPr>
        <w:jc w:val="left"/>
      </w:pPr>
      <w:r>
        <w:br/>
        <w:t>Если на иждивении погибшего при исполнении обязанностей военной службы состояли другие нетрудоспособные члены семьи, то им также может быть установлена ежемесячная денежная выплата, а также при определенных условиях пенсия по случаю потери кормильца.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CDB"/>
    <w:rsid w:val="00115F24"/>
    <w:rsid w:val="0070277F"/>
    <w:rsid w:val="00A53CDB"/>
    <w:rsid w:val="00BE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2021-02-17T13:34:00Z</dcterms:created>
  <dcterms:modified xsi:type="dcterms:W3CDTF">2021-02-17T13:38:00Z</dcterms:modified>
</cp:coreProperties>
</file>